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RAN</w:t>
      </w:r>
      <w:r w:rsidR="00E95731">
        <w:rPr>
          <w:rFonts w:eastAsia="宋体"/>
          <w:lang w:eastAsia="zh-CN"/>
        </w:rPr>
        <w:t xml:space="preserve"> </w:t>
      </w:r>
      <w:r w:rsidRPr="00400E05">
        <w:rPr>
          <w:rFonts w:eastAsia="宋体"/>
          <w:lang w:eastAsia="zh-CN"/>
        </w:rPr>
        <w:t xml:space="preserve">Meeting </w:t>
      </w:r>
      <w:r w:rsidR="00A57F1A" w:rsidRPr="00400E05">
        <w:rPr>
          <w:rFonts w:eastAsia="宋体"/>
          <w:lang w:eastAsia="zh-CN"/>
        </w:rPr>
        <w:t>#</w:t>
      </w:r>
      <w:r w:rsidR="009A01DD" w:rsidRPr="00400E05">
        <w:rPr>
          <w:rFonts w:eastAsia="宋体"/>
          <w:lang w:eastAsia="zh-CN"/>
        </w:rPr>
        <w:t>1</w:t>
      </w:r>
      <w:r w:rsidR="00FD363C">
        <w:rPr>
          <w:rFonts w:eastAsia="宋体"/>
          <w:lang w:eastAsia="zh-CN"/>
        </w:rPr>
        <w:t>03</w:t>
      </w:r>
      <w:r w:rsidR="007145F3">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E95731">
        <w:rPr>
          <w:rFonts w:eastAsia="宋体"/>
          <w:lang w:eastAsia="zh-CN"/>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FD363C">
        <w:rPr>
          <w:rFonts w:eastAsia="宋体"/>
          <w:lang w:eastAsia="zh-CN"/>
        </w:rPr>
        <w:t xml:space="preserve">       </w:t>
      </w:r>
      <w:r w:rsidR="00FD363C" w:rsidRPr="00FD363C">
        <w:rPr>
          <w:rFonts w:eastAsia="宋体"/>
          <w:lang w:eastAsia="zh-CN"/>
        </w:rPr>
        <w:t>RP-240437</w:t>
      </w:r>
    </w:p>
    <w:p w:rsidR="00675C27" w:rsidRPr="006F5325" w:rsidRDefault="00FD363C" w:rsidP="006272FF">
      <w:pPr>
        <w:pStyle w:val="aff2"/>
        <w:jc w:val="both"/>
        <w:rPr>
          <w:rFonts w:eastAsia="宋体"/>
          <w:sz w:val="21"/>
          <w:lang w:eastAsia="zh-CN"/>
        </w:rPr>
      </w:pPr>
      <w:r w:rsidRPr="00FD363C">
        <w:t>Maastricht, Netherlands, March 18-21, 2024</w:t>
      </w:r>
    </w:p>
    <w:p w:rsidR="00F71A33" w:rsidRPr="00F71A33" w:rsidRDefault="00F71A33" w:rsidP="006272FF">
      <w:pPr>
        <w:pStyle w:val="aff2"/>
        <w:jc w:val="both"/>
        <w:rPr>
          <w:rFonts w:eastAsia="宋体"/>
          <w:lang w:eastAsia="zh-CN"/>
        </w:rPr>
      </w:pPr>
    </w:p>
    <w:p w:rsidR="00911C40" w:rsidRPr="00F26092" w:rsidRDefault="00911C40" w:rsidP="00C24FC4">
      <w:pPr>
        <w:tabs>
          <w:tab w:val="left" w:pos="1985"/>
        </w:tabs>
        <w:ind w:left="1980" w:hanging="1980"/>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2823AA" w:rsidRPr="002823AA">
        <w:rPr>
          <w:rFonts w:ascii="Arial" w:hAnsi="Arial" w:cs="Arial"/>
          <w:sz w:val="22"/>
        </w:rPr>
        <w:t xml:space="preserve">Huawei, </w:t>
      </w:r>
      <w:proofErr w:type="spellStart"/>
      <w:r w:rsidR="002823AA" w:rsidRPr="002823AA">
        <w:rPr>
          <w:rFonts w:ascii="Arial" w:hAnsi="Arial" w:cs="Arial"/>
          <w:sz w:val="22"/>
        </w:rPr>
        <w:t>HiSilicon</w:t>
      </w:r>
      <w:proofErr w:type="spellEnd"/>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D363C">
        <w:rPr>
          <w:rFonts w:ascii="Arial" w:hAnsi="Arial" w:cs="Arial" w:hint="eastAsia"/>
          <w:sz w:val="22"/>
        </w:rPr>
        <w:t>On</w:t>
      </w:r>
      <w:r w:rsidR="00FD363C">
        <w:rPr>
          <w:rFonts w:ascii="Arial" w:hAnsi="Arial" w:cs="Arial"/>
          <w:sz w:val="22"/>
        </w:rPr>
        <w:t xml:space="preserve"> </w:t>
      </w:r>
      <w:r w:rsidR="00CD49E8">
        <w:rPr>
          <w:rFonts w:ascii="Arial" w:hAnsi="Arial" w:cs="Arial"/>
          <w:sz w:val="22"/>
        </w:rPr>
        <w:t xml:space="preserve">requirements for </w:t>
      </w:r>
      <w:r w:rsidR="00CD49E8" w:rsidRPr="00CD49E8">
        <w:rPr>
          <w:rFonts w:ascii="Arial" w:hAnsi="Arial" w:cs="Arial"/>
          <w:sz w:val="22"/>
        </w:rPr>
        <w:t>2Rx non-</w:t>
      </w:r>
      <w:proofErr w:type="spellStart"/>
      <w:r w:rsidR="00CD49E8" w:rsidRPr="00CD49E8">
        <w:rPr>
          <w:rFonts w:ascii="Arial" w:hAnsi="Arial" w:cs="Arial"/>
          <w:sz w:val="22"/>
        </w:rPr>
        <w:t>RedCap</w:t>
      </w:r>
      <w:proofErr w:type="spellEnd"/>
      <w:r w:rsidR="00CD49E8" w:rsidRPr="00CD49E8">
        <w:rPr>
          <w:rFonts w:ascii="Arial" w:hAnsi="Arial" w:cs="Arial"/>
          <w:sz w:val="22"/>
        </w:rPr>
        <w:t xml:space="preserve"> XR UE</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D363C" w:rsidRPr="00FD363C">
        <w:rPr>
          <w:rFonts w:ascii="Arial" w:hAnsi="Arial" w:cs="Arial"/>
          <w:sz w:val="22"/>
        </w:rPr>
        <w:t>9.7.2.7</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D363C">
        <w:rPr>
          <w:rFonts w:ascii="Arial" w:hAnsi="Arial" w:cs="Arial" w:hint="eastAsia"/>
          <w:sz w:val="22"/>
        </w:rPr>
        <w:t>Discussion</w:t>
      </w:r>
      <w:r w:rsidR="00FD363C">
        <w:rPr>
          <w:rFonts w:ascii="Arial" w:hAnsi="Arial" w:cs="Arial"/>
          <w:sz w:val="22"/>
        </w:rPr>
        <w:t xml:space="preserve"> and </w:t>
      </w:r>
      <w:r w:rsidR="00FD363C">
        <w:rPr>
          <w:rFonts w:ascii="Arial" w:hAnsi="Arial" w:cs="Arial" w:hint="eastAsia"/>
          <w:sz w:val="22"/>
        </w:rPr>
        <w:t>Decision</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B9629D" w:rsidRDefault="001D330A" w:rsidP="006272FF">
      <w:pPr>
        <w:jc w:val="both"/>
      </w:pPr>
      <w:r>
        <w:t>The issue of 2Rx XR UE has been discussed for several RAN meetings, and finally the WF was approved</w:t>
      </w:r>
      <w:r w:rsidR="00757C39">
        <w:t>.</w:t>
      </w:r>
      <w:r>
        <w:t xml:space="preserve"> </w:t>
      </w:r>
      <w:r w:rsidR="00757C39">
        <w:t>T</w:t>
      </w:r>
      <w:r>
        <w:t>he task to RAN4 was excerpted as below</w:t>
      </w:r>
      <w:r w:rsidR="00B9629D">
        <w:t xml:space="preserve"> [1]:</w:t>
      </w:r>
    </w:p>
    <w:tbl>
      <w:tblPr>
        <w:tblStyle w:val="aff"/>
        <w:tblW w:w="0" w:type="auto"/>
        <w:tblLook w:val="04A0" w:firstRow="1" w:lastRow="0" w:firstColumn="1" w:lastColumn="0" w:noHBand="0" w:noVBand="1"/>
      </w:tblPr>
      <w:tblGrid>
        <w:gridCol w:w="9631"/>
      </w:tblGrid>
      <w:tr w:rsidR="006371DC" w:rsidTr="006371DC">
        <w:tc>
          <w:tcPr>
            <w:tcW w:w="9631" w:type="dxa"/>
          </w:tcPr>
          <w:p w:rsidR="006371DC" w:rsidRPr="006371DC" w:rsidRDefault="006371DC" w:rsidP="006371DC">
            <w:pPr>
              <w:spacing w:after="160" w:line="259" w:lineRule="auto"/>
              <w:contextualSpacing/>
            </w:pPr>
            <w:r w:rsidRPr="006371DC">
              <w:rPr>
                <w:b/>
                <w:bCs/>
                <w:u w:val="single"/>
              </w:rPr>
              <w:t>Task RAN4</w:t>
            </w:r>
            <w:r w:rsidRPr="006371DC">
              <w:t xml:space="preserve"> to develop Release-18 draft CR(s) to RAN#103 for ‘2Rx non-REDCAP XR devices’:</w:t>
            </w:r>
          </w:p>
          <w:p w:rsidR="006371DC" w:rsidRPr="006371DC" w:rsidRDefault="006371DC" w:rsidP="006371DC">
            <w:pPr>
              <w:pStyle w:val="afff0"/>
              <w:widowControl/>
              <w:numPr>
                <w:ilvl w:val="0"/>
                <w:numId w:val="46"/>
              </w:numPr>
              <w:spacing w:after="160" w:line="259" w:lineRule="auto"/>
              <w:ind w:left="720" w:firstLineChars="0"/>
              <w:contextualSpacing/>
              <w:jc w:val="left"/>
              <w:rPr>
                <w:rFonts w:ascii="Times New Roman" w:hAnsi="Times New Roman"/>
                <w:sz w:val="20"/>
                <w:szCs w:val="20"/>
              </w:rPr>
            </w:pPr>
            <w:r w:rsidRPr="006371DC">
              <w:rPr>
                <w:rFonts w:ascii="Times New Roman" w:hAnsi="Times New Roman"/>
                <w:sz w:val="20"/>
                <w:szCs w:val="20"/>
              </w:rPr>
              <w:t>Capture the definition of 2Rx non-REDCAP XR devices in [38.101-1] using the definition from RAN#101 (c.f. RP-232657)</w:t>
            </w:r>
          </w:p>
          <w:p w:rsidR="006371DC" w:rsidRPr="006371DC" w:rsidRDefault="006371DC" w:rsidP="006371DC">
            <w:pPr>
              <w:pStyle w:val="afff0"/>
              <w:widowControl/>
              <w:numPr>
                <w:ilvl w:val="0"/>
                <w:numId w:val="46"/>
              </w:numPr>
              <w:spacing w:after="160" w:line="259" w:lineRule="auto"/>
              <w:ind w:left="720" w:firstLineChars="0"/>
              <w:contextualSpacing/>
              <w:jc w:val="left"/>
            </w:pPr>
            <w:r w:rsidRPr="006371DC">
              <w:rPr>
                <w:rFonts w:ascii="Times New Roman" w:hAnsi="Times New Roman"/>
                <w:sz w:val="20"/>
                <w:szCs w:val="20"/>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tc>
      </w:tr>
    </w:tbl>
    <w:p w:rsidR="006371DC" w:rsidRDefault="001D330A" w:rsidP="001D330A">
      <w:pPr>
        <w:spacing w:beforeLines="50" w:before="120"/>
        <w:jc w:val="both"/>
        <w:rPr>
          <w:lang w:val="x-none"/>
        </w:rPr>
      </w:pPr>
      <w:r>
        <w:rPr>
          <w:rFonts w:hint="eastAsia"/>
          <w:lang w:val="x-none"/>
        </w:rPr>
        <w:t>F</w:t>
      </w:r>
      <w:r>
        <w:rPr>
          <w:lang w:val="x-none"/>
        </w:rPr>
        <w:t>rom evaluation perspective, there are two tasks for RAN4, i.e. feasibility of tightened conductive 2Rx REFSENS, and consideration on the OTA based requirement.</w:t>
      </w:r>
    </w:p>
    <w:p w:rsidR="008134E0" w:rsidRDefault="000C3C9A" w:rsidP="001D330A">
      <w:pPr>
        <w:spacing w:beforeLines="50" w:before="120"/>
        <w:jc w:val="both"/>
        <w:rPr>
          <w:lang w:val="x-none"/>
        </w:rPr>
      </w:pPr>
      <w:r>
        <w:rPr>
          <w:rFonts w:hint="eastAsia"/>
          <w:lang w:val="x-none"/>
        </w:rPr>
        <w:t>U</w:t>
      </w:r>
      <w:r>
        <w:rPr>
          <w:lang w:val="x-none"/>
        </w:rPr>
        <w:t>pon the RAN task and the aforementioned two aspects to be considered in RAN4, after extensive discussion, a WF was agreed in [2], in which the OTA part has been settled down, however, there are still two options for the conductive REFSENS.</w:t>
      </w:r>
    </w:p>
    <w:tbl>
      <w:tblPr>
        <w:tblStyle w:val="aff"/>
        <w:tblW w:w="0" w:type="auto"/>
        <w:tblLook w:val="04A0" w:firstRow="1" w:lastRow="0" w:firstColumn="1" w:lastColumn="0" w:noHBand="0" w:noVBand="1"/>
      </w:tblPr>
      <w:tblGrid>
        <w:gridCol w:w="9631"/>
      </w:tblGrid>
      <w:tr w:rsidR="000C3C9A" w:rsidTr="000C3C9A">
        <w:tc>
          <w:tcPr>
            <w:tcW w:w="9631" w:type="dxa"/>
          </w:tcPr>
          <w:p w:rsidR="000C3C9A" w:rsidRPr="00B526D5" w:rsidRDefault="000C3C9A" w:rsidP="000C3C9A">
            <w:pPr>
              <w:rPr>
                <w:b/>
                <w:color w:val="000000" w:themeColor="text1"/>
              </w:rPr>
            </w:pPr>
            <w:r>
              <w:rPr>
                <w:b/>
                <w:color w:val="000000" w:themeColor="text1"/>
              </w:rPr>
              <w:t xml:space="preserve">RAN4 </w:t>
            </w:r>
            <w:r w:rsidRPr="00B526D5">
              <w:rPr>
                <w:b/>
                <w:color w:val="000000" w:themeColor="text1"/>
              </w:rPr>
              <w:t xml:space="preserve">Agreement: </w:t>
            </w:r>
          </w:p>
          <w:p w:rsidR="000C3C9A" w:rsidRPr="000C3C9A" w:rsidRDefault="000C3C9A" w:rsidP="000C3C9A">
            <w:pPr>
              <w:pStyle w:val="afff0"/>
              <w:widowControl/>
              <w:numPr>
                <w:ilvl w:val="0"/>
                <w:numId w:val="50"/>
              </w:numPr>
              <w:overflowPunct w:val="0"/>
              <w:autoSpaceDE w:val="0"/>
              <w:autoSpaceDN w:val="0"/>
              <w:adjustRightInd w:val="0"/>
              <w:spacing w:after="120"/>
              <w:ind w:firstLineChars="0"/>
              <w:jc w:val="left"/>
              <w:textAlignment w:val="baseline"/>
              <w:rPr>
                <w:rFonts w:ascii="Times New Roman" w:hAnsi="Times New Roman"/>
                <w:color w:val="000000" w:themeColor="text1"/>
                <w:sz w:val="20"/>
              </w:rPr>
            </w:pPr>
            <w:r w:rsidRPr="000C3C9A">
              <w:rPr>
                <w:rFonts w:ascii="Times New Roman" w:hAnsi="Times New Roman"/>
                <w:color w:val="000000" w:themeColor="text1"/>
                <w:sz w:val="20"/>
              </w:rPr>
              <w:t>On conducted receiver sensitivity, consider two options</w:t>
            </w:r>
          </w:p>
          <w:p w:rsidR="000C3C9A" w:rsidRPr="000C3C9A" w:rsidRDefault="000C3C9A" w:rsidP="000C3C9A">
            <w:pPr>
              <w:pStyle w:val="afff0"/>
              <w:widowControl/>
              <w:numPr>
                <w:ilvl w:val="1"/>
                <w:numId w:val="50"/>
              </w:numPr>
              <w:overflowPunct w:val="0"/>
              <w:autoSpaceDE w:val="0"/>
              <w:autoSpaceDN w:val="0"/>
              <w:adjustRightInd w:val="0"/>
              <w:spacing w:after="120"/>
              <w:ind w:firstLineChars="0"/>
              <w:jc w:val="left"/>
              <w:textAlignment w:val="baseline"/>
              <w:rPr>
                <w:rFonts w:ascii="Times New Roman" w:hAnsi="Times New Roman"/>
                <w:color w:val="000000" w:themeColor="text1"/>
                <w:sz w:val="20"/>
              </w:rPr>
            </w:pPr>
            <w:r w:rsidRPr="000C3C9A">
              <w:rPr>
                <w:rFonts w:ascii="Times New Roman" w:hAnsi="Times New Roman"/>
                <w:color w:val="000000" w:themeColor="text1"/>
                <w:sz w:val="20"/>
              </w:rPr>
              <w:t>0.5dB tightening compared to the existing 2Rx UE conducted REFSENS, which is considered feasible by some UE vendors</w:t>
            </w:r>
          </w:p>
          <w:p w:rsidR="000C3C9A" w:rsidRPr="000C3C9A" w:rsidRDefault="000C3C9A" w:rsidP="000C3C9A">
            <w:pPr>
              <w:pStyle w:val="afff0"/>
              <w:widowControl/>
              <w:numPr>
                <w:ilvl w:val="1"/>
                <w:numId w:val="50"/>
              </w:numPr>
              <w:overflowPunct w:val="0"/>
              <w:autoSpaceDE w:val="0"/>
              <w:autoSpaceDN w:val="0"/>
              <w:adjustRightInd w:val="0"/>
              <w:spacing w:after="120"/>
              <w:ind w:firstLineChars="0"/>
              <w:jc w:val="left"/>
              <w:textAlignment w:val="baseline"/>
              <w:rPr>
                <w:rFonts w:ascii="Times New Roman" w:hAnsi="Times New Roman"/>
                <w:color w:val="000000" w:themeColor="text1"/>
                <w:sz w:val="20"/>
              </w:rPr>
            </w:pPr>
            <w:r w:rsidRPr="000C3C9A">
              <w:rPr>
                <w:rFonts w:ascii="Times New Roman" w:hAnsi="Times New Roman"/>
                <w:color w:val="000000" w:themeColor="text1"/>
                <w:sz w:val="20"/>
              </w:rPr>
              <w:t>2Rx XR UE meets the 4Rx handheld UE conducted REFSENS</w:t>
            </w:r>
          </w:p>
          <w:p w:rsidR="000C3C9A" w:rsidRPr="000C3C9A" w:rsidRDefault="000C3C9A" w:rsidP="000C3C9A">
            <w:pPr>
              <w:pStyle w:val="afff0"/>
              <w:widowControl/>
              <w:numPr>
                <w:ilvl w:val="0"/>
                <w:numId w:val="50"/>
              </w:numPr>
              <w:overflowPunct w:val="0"/>
              <w:autoSpaceDE w:val="0"/>
              <w:autoSpaceDN w:val="0"/>
              <w:adjustRightInd w:val="0"/>
              <w:spacing w:after="120"/>
              <w:ind w:firstLineChars="0"/>
              <w:jc w:val="left"/>
              <w:textAlignment w:val="baseline"/>
              <w:rPr>
                <w:rFonts w:ascii="Times New Roman" w:hAnsi="Times New Roman"/>
                <w:color w:val="000000" w:themeColor="text1"/>
                <w:sz w:val="20"/>
              </w:rPr>
            </w:pPr>
            <w:r w:rsidRPr="000C3C9A">
              <w:rPr>
                <w:rFonts w:ascii="Times New Roman" w:hAnsi="Times New Roman"/>
                <w:color w:val="000000" w:themeColor="text1"/>
                <w:sz w:val="20"/>
              </w:rPr>
              <w:t>On OTA performance:</w:t>
            </w:r>
          </w:p>
          <w:p w:rsidR="000C3C9A" w:rsidRPr="000C3C9A" w:rsidRDefault="000C3C9A" w:rsidP="000C3C9A">
            <w:pPr>
              <w:pStyle w:val="afff0"/>
              <w:widowControl/>
              <w:numPr>
                <w:ilvl w:val="1"/>
                <w:numId w:val="50"/>
              </w:numPr>
              <w:overflowPunct w:val="0"/>
              <w:autoSpaceDE w:val="0"/>
              <w:autoSpaceDN w:val="0"/>
              <w:adjustRightInd w:val="0"/>
              <w:spacing w:after="120"/>
              <w:ind w:firstLineChars="0"/>
              <w:jc w:val="left"/>
              <w:textAlignment w:val="baseline"/>
              <w:rPr>
                <w:rFonts w:hint="eastAsia"/>
                <w:color w:val="000000" w:themeColor="text1"/>
              </w:rPr>
            </w:pPr>
            <w:r w:rsidRPr="000C3C9A">
              <w:rPr>
                <w:rFonts w:ascii="Times New Roman" w:hAnsi="Times New Roman"/>
                <w:color w:val="000000" w:themeColor="text1"/>
                <w:sz w:val="20"/>
              </w:rPr>
              <w:t>It is agreed to specify OTA TRS requirements per band for both 4Rx XR and 2Rx XR for the NR bands which are mandatorily to support 4Rx based on measurement campaign of 4Rx XR, considering the performance degradation value for 2Rx based on 4Rx measurement campaign.</w:t>
            </w:r>
          </w:p>
        </w:tc>
      </w:tr>
    </w:tbl>
    <w:p w:rsidR="009A089A" w:rsidRDefault="00B9629D" w:rsidP="000C3C9A">
      <w:pPr>
        <w:spacing w:beforeLines="50" w:before="120"/>
        <w:jc w:val="both"/>
      </w:pPr>
      <w:r>
        <w:rPr>
          <w:lang w:val="x-none"/>
        </w:rPr>
        <w:t xml:space="preserve">This contribution provides </w:t>
      </w:r>
      <w:r w:rsidR="000C3C9A">
        <w:rPr>
          <w:lang w:val="x-none"/>
        </w:rPr>
        <w:t xml:space="preserve">our </w:t>
      </w:r>
      <w:r w:rsidR="00A750D9">
        <w:rPr>
          <w:lang w:val="x-none"/>
        </w:rPr>
        <w:t>analysis</w:t>
      </w:r>
      <w:r w:rsidR="000C3C9A">
        <w:rPr>
          <w:lang w:val="x-none"/>
        </w:rPr>
        <w:t xml:space="preserve"> and consideration</w:t>
      </w:r>
      <w:r w:rsidR="00A750D9">
        <w:rPr>
          <w:lang w:val="x-none"/>
        </w:rPr>
        <w:t xml:space="preserve"> </w:t>
      </w:r>
      <w:r w:rsidR="001D330A">
        <w:rPr>
          <w:lang w:val="x-none"/>
        </w:rPr>
        <w:t xml:space="preserve">for the 2Rx XR </w:t>
      </w:r>
      <w:r w:rsidR="000C3C9A">
        <w:rPr>
          <w:lang w:val="x-none"/>
        </w:rPr>
        <w:t>REFSENS</w:t>
      </w:r>
      <w:r w:rsidR="001D330A">
        <w:rPr>
          <w:lang w:val="x-none"/>
        </w:rPr>
        <w:t xml:space="preserve"> according to the RAN</w:t>
      </w:r>
      <w:r w:rsidR="000C3C9A">
        <w:rPr>
          <w:lang w:val="x-none"/>
        </w:rPr>
        <w:t>4</w:t>
      </w:r>
      <w:r w:rsidR="001D330A">
        <w:rPr>
          <w:lang w:val="x-none"/>
        </w:rPr>
        <w:t xml:space="preserve"> WF</w:t>
      </w:r>
      <w:r>
        <w:rPr>
          <w:lang w:val="x-none"/>
        </w:rPr>
        <w:t>.</w:t>
      </w:r>
    </w:p>
    <w:p w:rsidR="00062E8E" w:rsidRDefault="00062E8E" w:rsidP="006272FF">
      <w:pPr>
        <w:pStyle w:val="1"/>
        <w:spacing w:after="240"/>
        <w:jc w:val="both"/>
        <w:rPr>
          <w:rFonts w:eastAsia="宋体"/>
          <w:lang w:eastAsia="zh-CN"/>
        </w:rPr>
      </w:pPr>
      <w:r>
        <w:rPr>
          <w:rFonts w:eastAsia="宋体" w:hint="eastAsia"/>
          <w:lang w:eastAsia="zh-CN"/>
        </w:rPr>
        <w:t>Discussion</w:t>
      </w:r>
    </w:p>
    <w:p w:rsidR="009501B6" w:rsidRPr="002D3042" w:rsidRDefault="009501B6" w:rsidP="009501B6">
      <w:pPr>
        <w:rPr>
          <w:lang w:val="en-US"/>
        </w:rPr>
      </w:pPr>
      <w:r w:rsidRPr="002D3042">
        <w:rPr>
          <w:lang w:val="en-US"/>
        </w:rPr>
        <w:t xml:space="preserve">For below 6GHz, the </w:t>
      </w:r>
      <w:r w:rsidR="000C3C9A">
        <w:rPr>
          <w:lang w:val="en-US"/>
        </w:rPr>
        <w:t xml:space="preserve">conductive </w:t>
      </w:r>
      <w:r w:rsidRPr="002D3042">
        <w:rPr>
          <w:lang w:val="en-US"/>
        </w:rPr>
        <w:t>REFSENS level can be calculated by the equation below:</w:t>
      </w:r>
    </w:p>
    <w:p w:rsidR="009501B6" w:rsidRPr="002D3042" w:rsidRDefault="009501B6" w:rsidP="009501B6">
      <w:pPr>
        <w:pStyle w:val="EQ"/>
        <w:rPr>
          <w:lang w:val="en-US"/>
        </w:rPr>
      </w:pPr>
      <w:r w:rsidRPr="002D3042">
        <w:rPr>
          <w:rFonts w:eastAsia="Malgun Gothic"/>
          <w:lang w:val="en-US" w:eastAsia="ko-KR"/>
        </w:rPr>
        <w:tab/>
      </w:r>
      <w:r w:rsidRPr="002D3042">
        <w:rPr>
          <w:lang w:val="en-US"/>
        </w:rPr>
        <w:t>Sensitivity = -174dBm(kT) + 10*log(R</w:t>
      </w:r>
      <w:r w:rsidRPr="002D3042">
        <w:rPr>
          <w:vertAlign w:val="subscript"/>
          <w:lang w:val="en-US"/>
        </w:rPr>
        <w:t>X</w:t>
      </w:r>
      <w:r w:rsidRPr="002D3042">
        <w:rPr>
          <w:lang w:val="en-US"/>
        </w:rPr>
        <w:t xml:space="preserve"> BW) + NF + SNR +IM – diversity gain</w:t>
      </w:r>
    </w:p>
    <w:p w:rsidR="005369EE" w:rsidRDefault="00A8562F" w:rsidP="006272FF">
      <w:pPr>
        <w:jc w:val="both"/>
        <w:rPr>
          <w:rFonts w:cs="v5.0.0"/>
        </w:rPr>
      </w:pPr>
      <w:r w:rsidRPr="002D3042">
        <w:rPr>
          <w:rFonts w:cs="v5.0.0"/>
        </w:rPr>
        <w:t>If 2Rx is considered, the diversity gain is 3dB and the Implementation Margin (IM) uses 2.5dB.</w:t>
      </w:r>
      <w:r>
        <w:rPr>
          <w:rFonts w:cs="v5.0.0"/>
        </w:rPr>
        <w:t xml:space="preserve"> </w:t>
      </w:r>
    </w:p>
    <w:p w:rsidR="00A8562F" w:rsidRDefault="00A8562F" w:rsidP="008936D1">
      <w:pPr>
        <w:jc w:val="both"/>
        <w:rPr>
          <w:lang w:val="en-US"/>
        </w:rPr>
      </w:pPr>
      <w:r>
        <w:rPr>
          <w:rFonts w:hint="eastAsia"/>
          <w:lang w:val="en-US"/>
        </w:rPr>
        <w:t>F</w:t>
      </w:r>
      <w:r>
        <w:rPr>
          <w:lang w:val="en-US"/>
        </w:rPr>
        <w:t>rom all the parameters to comprise the formula of sensitivity, the parameter we think could be adjusted is IM. For handheld UE, more antennas and combinations are supported compared to a non-</w:t>
      </w:r>
      <w:proofErr w:type="spellStart"/>
      <w:r>
        <w:rPr>
          <w:lang w:val="en-US"/>
        </w:rPr>
        <w:t>RedCap</w:t>
      </w:r>
      <w:proofErr w:type="spellEnd"/>
      <w:r>
        <w:rPr>
          <w:lang w:val="en-US"/>
        </w:rPr>
        <w:t xml:space="preserve"> XR device, which means larger value of implementation margin considered for handheld UE is reasonable. Furthermore, relaxed REFSENS for 2Rx XR may harm the network performance and QoS user perception, which is a big concern for operators [</w:t>
      </w:r>
      <w:r w:rsidR="008936D1">
        <w:rPr>
          <w:lang w:val="en-US"/>
        </w:rPr>
        <w:t>2</w:t>
      </w:r>
      <w:r>
        <w:rPr>
          <w:lang w:val="en-US"/>
        </w:rPr>
        <w:t xml:space="preserve">]. Thus, we think </w:t>
      </w:r>
      <w:r>
        <w:rPr>
          <w:lang w:val="en-US"/>
        </w:rPr>
        <w:lastRenderedPageBreak/>
        <w:t>tightening the REFSENS for 2Rx XR is a tradeoff between the implementation and performance. We don’t expect the REFSENS requirement for 2Rx XR is comparable to that for 4Rx</w:t>
      </w:r>
      <w:r w:rsidR="008936D1">
        <w:rPr>
          <w:lang w:val="en-US"/>
        </w:rPr>
        <w:t xml:space="preserve">, but some extent of tightening on top of the 2Rx REFSENS </w:t>
      </w:r>
      <w:r w:rsidR="002B4708">
        <w:rPr>
          <w:lang w:val="en-US"/>
        </w:rPr>
        <w:t xml:space="preserve">specified </w:t>
      </w:r>
      <w:r w:rsidR="008936D1">
        <w:rPr>
          <w:lang w:val="en-US"/>
        </w:rPr>
        <w:t>for handheld UE is possible. In similar way to specify</w:t>
      </w:r>
      <w:r w:rsidR="002B4708">
        <w:rPr>
          <w:lang w:val="en-US"/>
        </w:rPr>
        <w:t>ing</w:t>
      </w:r>
      <w:r w:rsidR="008936D1">
        <w:rPr>
          <w:lang w:val="en-US"/>
        </w:rPr>
        <w:t xml:space="preserve"> the relative requirement for 4Rx, the following table is proposed for 2Rx non-</w:t>
      </w:r>
      <w:proofErr w:type="spellStart"/>
      <w:r w:rsidR="008936D1">
        <w:rPr>
          <w:lang w:val="en-US"/>
        </w:rPr>
        <w:t>RedCap</w:t>
      </w:r>
      <w:proofErr w:type="spellEnd"/>
      <w:r w:rsidR="008936D1">
        <w:rPr>
          <w:lang w:val="en-US"/>
        </w:rPr>
        <w:t xml:space="preserve"> XR device, and the proposal is also reflected in a companion CR in [3].</w:t>
      </w:r>
    </w:p>
    <w:p w:rsidR="008936D1" w:rsidRPr="00A1115A" w:rsidRDefault="008936D1" w:rsidP="008936D1">
      <w:pPr>
        <w:jc w:val="both"/>
      </w:pPr>
      <w:r w:rsidRPr="00A1115A">
        <w:t xml:space="preserve">For </w:t>
      </w:r>
      <w:r w:rsidRPr="00E401DC">
        <w:t>2Rx non-</w:t>
      </w:r>
      <w:proofErr w:type="spellStart"/>
      <w:r w:rsidRPr="00E401DC">
        <w:t>RedCap</w:t>
      </w:r>
      <w:proofErr w:type="spellEnd"/>
      <w:r w:rsidRPr="00E401DC">
        <w:t xml:space="preserve"> XR UE</w:t>
      </w:r>
      <w:r w:rsidRPr="00A1115A">
        <w:t>, reference sensitivity for 2Rx antenna ports in Table 7.3.2-1</w:t>
      </w:r>
      <w:r>
        <w:t xml:space="preserve"> of TS 38.101-1</w:t>
      </w:r>
      <w:r w:rsidRPr="00A1115A">
        <w:t xml:space="preserve"> shall be modified by the amount given in ΔR</w:t>
      </w:r>
      <w:r>
        <w:rPr>
          <w:vertAlign w:val="subscript"/>
        </w:rPr>
        <w:t>XR</w:t>
      </w:r>
      <w:r w:rsidRPr="00A1115A">
        <w:rPr>
          <w:vertAlign w:val="subscript"/>
        </w:rPr>
        <w:t>,</w:t>
      </w:r>
      <w:r>
        <w:rPr>
          <w:vertAlign w:val="subscript"/>
        </w:rPr>
        <w:t>2</w:t>
      </w:r>
      <w:r w:rsidRPr="00A1115A">
        <w:rPr>
          <w:vertAlign w:val="subscript"/>
        </w:rPr>
        <w:t>R</w:t>
      </w:r>
      <w:r w:rsidRPr="00A1115A">
        <w:t xml:space="preserve"> in Table </w:t>
      </w:r>
      <w:r>
        <w:t>1</w:t>
      </w:r>
      <w:r w:rsidRPr="00A1115A">
        <w:t xml:space="preserve"> for the applicable operating bands.</w:t>
      </w:r>
    </w:p>
    <w:p w:rsidR="008936D1" w:rsidRPr="00A1115A" w:rsidRDefault="008936D1" w:rsidP="008936D1">
      <w:pPr>
        <w:pStyle w:val="TH"/>
        <w:rPr>
          <w:bCs/>
          <w:vertAlign w:val="subscript"/>
        </w:rPr>
      </w:pPr>
      <w:r w:rsidRPr="00A1115A">
        <w:t xml:space="preserve">Table </w:t>
      </w:r>
      <w:r>
        <w:t>1</w:t>
      </w:r>
      <w:r w:rsidRPr="00A1115A">
        <w:t xml:space="preserve">: </w:t>
      </w:r>
      <w:r>
        <w:t>Two</w:t>
      </w:r>
      <w:r w:rsidRPr="00A1115A">
        <w:t xml:space="preserve"> antenna port 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936D1" w:rsidRPr="00A1115A" w:rsidTr="00086E43">
        <w:trPr>
          <w:jc w:val="center"/>
        </w:trPr>
        <w:tc>
          <w:tcPr>
            <w:tcW w:w="2889" w:type="dxa"/>
          </w:tcPr>
          <w:p w:rsidR="008936D1" w:rsidRPr="00A1115A" w:rsidRDefault="008936D1" w:rsidP="00086E43">
            <w:pPr>
              <w:pStyle w:val="TAH"/>
            </w:pPr>
            <w:r w:rsidRPr="00A1115A">
              <w:t>Operating band</w:t>
            </w:r>
          </w:p>
        </w:tc>
        <w:tc>
          <w:tcPr>
            <w:tcW w:w="2970" w:type="dxa"/>
          </w:tcPr>
          <w:p w:rsidR="008936D1" w:rsidRPr="00A1115A" w:rsidRDefault="008936D1" w:rsidP="00086E43">
            <w:pPr>
              <w:pStyle w:val="TAH"/>
            </w:pPr>
            <w:r w:rsidRPr="00A1115A">
              <w:t>ΔR</w:t>
            </w:r>
            <w:r>
              <w:rPr>
                <w:vertAlign w:val="subscript"/>
              </w:rPr>
              <w:t>XR</w:t>
            </w:r>
            <w:r w:rsidRPr="00A1115A">
              <w:rPr>
                <w:vertAlign w:val="subscript"/>
              </w:rPr>
              <w:t>,</w:t>
            </w:r>
            <w:r>
              <w:rPr>
                <w:vertAlign w:val="subscript"/>
              </w:rPr>
              <w:t>2</w:t>
            </w:r>
            <w:r w:rsidRPr="00A1115A">
              <w:rPr>
                <w:vertAlign w:val="subscript"/>
              </w:rPr>
              <w:t xml:space="preserve">R </w:t>
            </w:r>
            <w:r w:rsidRPr="00A1115A">
              <w:t>(dB)</w:t>
            </w:r>
          </w:p>
        </w:tc>
      </w:tr>
      <w:tr w:rsidR="008936D1" w:rsidRPr="00A1115A" w:rsidTr="00086E43">
        <w:trPr>
          <w:jc w:val="center"/>
        </w:trPr>
        <w:tc>
          <w:tcPr>
            <w:tcW w:w="2889" w:type="dxa"/>
            <w:vAlign w:val="center"/>
          </w:tcPr>
          <w:p w:rsidR="008936D1" w:rsidRPr="00A1115A" w:rsidRDefault="008936D1" w:rsidP="00086E43">
            <w:pPr>
              <w:pStyle w:val="TAC"/>
            </w:pPr>
            <w:r>
              <w:t>n7,</w:t>
            </w:r>
            <w:r>
              <w:rPr>
                <w:rFonts w:eastAsia="Calibri"/>
              </w:rPr>
              <w:t xml:space="preserve"> n38, n41</w:t>
            </w:r>
          </w:p>
        </w:tc>
        <w:tc>
          <w:tcPr>
            <w:tcW w:w="2970" w:type="dxa"/>
            <w:vAlign w:val="center"/>
          </w:tcPr>
          <w:p w:rsidR="008936D1" w:rsidRPr="00A1115A" w:rsidRDefault="008936D1" w:rsidP="00086E43">
            <w:pPr>
              <w:pStyle w:val="TAC"/>
            </w:pPr>
            <w:r w:rsidRPr="00A1115A">
              <w:t>-</w:t>
            </w:r>
            <w:r>
              <w:t>1.5</w:t>
            </w:r>
          </w:p>
        </w:tc>
      </w:tr>
      <w:tr w:rsidR="008936D1" w:rsidRPr="00A1115A" w:rsidTr="00086E43">
        <w:trPr>
          <w:jc w:val="center"/>
        </w:trPr>
        <w:tc>
          <w:tcPr>
            <w:tcW w:w="2889" w:type="dxa"/>
            <w:vAlign w:val="center"/>
          </w:tcPr>
          <w:p w:rsidR="008936D1" w:rsidRPr="00A1115A" w:rsidRDefault="008936D1" w:rsidP="00086E43">
            <w:pPr>
              <w:pStyle w:val="TAC"/>
              <w:rPr>
                <w:rFonts w:eastAsia="Calibri"/>
              </w:rPr>
            </w:pPr>
            <w:r>
              <w:rPr>
                <w:rFonts w:eastAsia="Calibri"/>
              </w:rPr>
              <w:t>n48, n77, n78, n79, n104</w:t>
            </w:r>
          </w:p>
        </w:tc>
        <w:tc>
          <w:tcPr>
            <w:tcW w:w="2970" w:type="dxa"/>
            <w:vAlign w:val="center"/>
          </w:tcPr>
          <w:p w:rsidR="008936D1" w:rsidRPr="00A1115A" w:rsidRDefault="008936D1" w:rsidP="00086E43">
            <w:pPr>
              <w:pStyle w:val="TAC"/>
            </w:pPr>
            <w:r w:rsidRPr="00A1115A">
              <w:t>-</w:t>
            </w:r>
            <w:r>
              <w:t>1.0</w:t>
            </w:r>
          </w:p>
        </w:tc>
      </w:tr>
    </w:tbl>
    <w:p w:rsidR="008936D1" w:rsidRDefault="008936D1" w:rsidP="006272FF">
      <w:pPr>
        <w:jc w:val="both"/>
        <w:rPr>
          <w:lang w:val="en-US"/>
        </w:rPr>
      </w:pPr>
    </w:p>
    <w:p w:rsidR="00190387" w:rsidRDefault="00190387" w:rsidP="006272FF">
      <w:pPr>
        <w:jc w:val="both"/>
        <w:rPr>
          <w:b/>
          <w:i/>
        </w:rPr>
      </w:pPr>
      <w:r w:rsidRPr="005369EE">
        <w:rPr>
          <w:b/>
          <w:i/>
          <w:lang w:val="en-US" w:eastAsia="en-US"/>
        </w:rPr>
        <w:t xml:space="preserve">Proposal </w:t>
      </w:r>
      <w:r w:rsidR="000C3C9A">
        <w:rPr>
          <w:b/>
          <w:i/>
          <w:lang w:val="en-US" w:eastAsia="en-US"/>
        </w:rPr>
        <w:t>1</w:t>
      </w:r>
      <w:r w:rsidRPr="005369EE">
        <w:rPr>
          <w:b/>
          <w:i/>
          <w:lang w:val="en-US" w:eastAsia="en-US"/>
        </w:rPr>
        <w:t>:</w:t>
      </w:r>
      <w:r>
        <w:rPr>
          <w:b/>
          <w:i/>
          <w:lang w:val="en-US" w:eastAsia="en-US"/>
        </w:rPr>
        <w:t xml:space="preserve"> The introduced </w:t>
      </w:r>
      <w:r w:rsidRPr="00190387">
        <w:rPr>
          <w:b/>
          <w:i/>
        </w:rPr>
        <w:t>ΔR</w:t>
      </w:r>
      <w:r w:rsidRPr="00190387">
        <w:rPr>
          <w:b/>
          <w:i/>
          <w:vertAlign w:val="subscript"/>
        </w:rPr>
        <w:t>XR,2R</w:t>
      </w:r>
      <w:r w:rsidRPr="00190387">
        <w:rPr>
          <w:b/>
          <w:i/>
        </w:rPr>
        <w:t xml:space="preserve"> </w:t>
      </w:r>
      <w:r>
        <w:rPr>
          <w:b/>
          <w:i/>
        </w:rPr>
        <w:t>should be distinguished with different values for the bands which are mandatorily supporting 4Rx</w:t>
      </w:r>
      <w:r w:rsidR="002B4708">
        <w:rPr>
          <w:b/>
          <w:i/>
        </w:rPr>
        <w:t>.</w:t>
      </w:r>
    </w:p>
    <w:p w:rsidR="000C3C9A" w:rsidRPr="006420FD" w:rsidRDefault="000C3C9A" w:rsidP="006272FF">
      <w:pPr>
        <w:jc w:val="both"/>
        <w:rPr>
          <w:rFonts w:hint="eastAsia"/>
          <w:lang w:val="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w:t>
      </w:r>
      <w:r>
        <w:rPr>
          <w:b/>
          <w:i/>
          <w:lang w:val="en-US" w:eastAsia="en-US"/>
        </w:rPr>
        <w:t>It is proposed to adopt the values in Table 1 as a compromise for the two extreme options in the RAN4 WF.</w:t>
      </w:r>
    </w:p>
    <w:p w:rsidR="00A33E8E" w:rsidRDefault="00A33E8E" w:rsidP="006272FF">
      <w:pPr>
        <w:pStyle w:val="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2B4708">
        <w:t xml:space="preserve">analysis </w:t>
      </w:r>
      <w:r w:rsidR="002B4708" w:rsidRPr="002B4708">
        <w:t xml:space="preserve">on </w:t>
      </w:r>
      <w:r w:rsidR="000C3C9A">
        <w:t xml:space="preserve">conductive </w:t>
      </w:r>
      <w:r w:rsidR="002B4708" w:rsidRPr="002B4708">
        <w:t>requirements for 2Rx non-</w:t>
      </w:r>
      <w:proofErr w:type="spellStart"/>
      <w:r w:rsidR="002B4708" w:rsidRPr="002B4708">
        <w:t>RedCap</w:t>
      </w:r>
      <w:proofErr w:type="spellEnd"/>
      <w:r w:rsidR="002B4708" w:rsidRPr="002B4708">
        <w:t xml:space="preserve"> XR UE</w:t>
      </w:r>
      <w:r w:rsidR="002B4708">
        <w:t xml:space="preserve"> according to the RAN</w:t>
      </w:r>
      <w:r w:rsidR="000C3C9A">
        <w:t>4</w:t>
      </w:r>
      <w:r w:rsidR="002B4708">
        <w:t xml:space="preserve"> WF. Our proposals for addressing the XR REFSENS issue are also provided.</w:t>
      </w:r>
    </w:p>
    <w:p w:rsidR="000C3C9A" w:rsidRDefault="000C3C9A" w:rsidP="000C3C9A">
      <w:pPr>
        <w:jc w:val="both"/>
        <w:rPr>
          <w:b/>
          <w:i/>
        </w:rPr>
      </w:pPr>
      <w:r w:rsidRPr="005369EE">
        <w:rPr>
          <w:b/>
          <w:i/>
          <w:lang w:val="en-US" w:eastAsia="en-US"/>
        </w:rPr>
        <w:t xml:space="preserve">Proposal </w:t>
      </w:r>
      <w:r>
        <w:rPr>
          <w:b/>
          <w:i/>
          <w:lang w:val="en-US" w:eastAsia="en-US"/>
        </w:rPr>
        <w:t>1</w:t>
      </w:r>
      <w:r w:rsidRPr="005369EE">
        <w:rPr>
          <w:b/>
          <w:i/>
          <w:lang w:val="en-US" w:eastAsia="en-US"/>
        </w:rPr>
        <w:t>:</w:t>
      </w:r>
      <w:r>
        <w:rPr>
          <w:b/>
          <w:i/>
          <w:lang w:val="en-US" w:eastAsia="en-US"/>
        </w:rPr>
        <w:t xml:space="preserve"> The introduced </w:t>
      </w:r>
      <w:r w:rsidRPr="00190387">
        <w:rPr>
          <w:b/>
          <w:i/>
        </w:rPr>
        <w:t>ΔR</w:t>
      </w:r>
      <w:r w:rsidRPr="00190387">
        <w:rPr>
          <w:b/>
          <w:i/>
          <w:vertAlign w:val="subscript"/>
        </w:rPr>
        <w:t>XR,2R</w:t>
      </w:r>
      <w:r w:rsidRPr="00190387">
        <w:rPr>
          <w:b/>
          <w:i/>
        </w:rPr>
        <w:t xml:space="preserve"> </w:t>
      </w:r>
      <w:r>
        <w:rPr>
          <w:b/>
          <w:i/>
        </w:rPr>
        <w:t>should be distinguished with different values for the bands which are mandatorily supporting 4Rx.</w:t>
      </w:r>
    </w:p>
    <w:p w:rsidR="000C3C9A" w:rsidRPr="006420FD" w:rsidRDefault="000C3C9A" w:rsidP="000C3C9A">
      <w:pPr>
        <w:jc w:val="both"/>
        <w:rPr>
          <w:rFonts w:hint="eastAsia"/>
          <w:lang w:val="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It is proposed to adopt the values in Table 1 as a compromise for the two extreme options in the RAN4 WF.</w:t>
      </w:r>
    </w:p>
    <w:p w:rsidR="000C3C9A" w:rsidRPr="00A1115A" w:rsidRDefault="000C3C9A" w:rsidP="000C3C9A">
      <w:pPr>
        <w:pStyle w:val="TH"/>
        <w:rPr>
          <w:bCs/>
          <w:vertAlign w:val="subscript"/>
        </w:rPr>
      </w:pPr>
      <w:r w:rsidRPr="00A1115A">
        <w:t xml:space="preserve">Table </w:t>
      </w:r>
      <w:r>
        <w:t>1</w:t>
      </w:r>
      <w:r w:rsidRPr="00A1115A">
        <w:t xml:space="preserve">: </w:t>
      </w:r>
      <w:r>
        <w:t>Two</w:t>
      </w:r>
      <w:r w:rsidRPr="00A1115A">
        <w:t xml:space="preserve"> antenna port 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3C9A" w:rsidRPr="00A1115A" w:rsidTr="00B83C48">
        <w:trPr>
          <w:jc w:val="center"/>
        </w:trPr>
        <w:tc>
          <w:tcPr>
            <w:tcW w:w="2889" w:type="dxa"/>
          </w:tcPr>
          <w:p w:rsidR="000C3C9A" w:rsidRPr="00A1115A" w:rsidRDefault="000C3C9A" w:rsidP="00B83C48">
            <w:pPr>
              <w:pStyle w:val="TAH"/>
            </w:pPr>
            <w:r w:rsidRPr="00A1115A">
              <w:t>Operating band</w:t>
            </w:r>
          </w:p>
        </w:tc>
        <w:tc>
          <w:tcPr>
            <w:tcW w:w="2970" w:type="dxa"/>
          </w:tcPr>
          <w:p w:rsidR="000C3C9A" w:rsidRPr="00A1115A" w:rsidRDefault="000C3C9A" w:rsidP="00B83C48">
            <w:pPr>
              <w:pStyle w:val="TAH"/>
            </w:pPr>
            <w:r w:rsidRPr="00A1115A">
              <w:t>ΔR</w:t>
            </w:r>
            <w:r>
              <w:rPr>
                <w:vertAlign w:val="subscript"/>
              </w:rPr>
              <w:t>XR</w:t>
            </w:r>
            <w:r w:rsidRPr="00A1115A">
              <w:rPr>
                <w:vertAlign w:val="subscript"/>
              </w:rPr>
              <w:t>,</w:t>
            </w:r>
            <w:r>
              <w:rPr>
                <w:vertAlign w:val="subscript"/>
              </w:rPr>
              <w:t>2</w:t>
            </w:r>
            <w:r w:rsidRPr="00A1115A">
              <w:rPr>
                <w:vertAlign w:val="subscript"/>
              </w:rPr>
              <w:t xml:space="preserve">R </w:t>
            </w:r>
            <w:r w:rsidRPr="00A1115A">
              <w:t>(dB)</w:t>
            </w:r>
          </w:p>
        </w:tc>
      </w:tr>
      <w:tr w:rsidR="000C3C9A" w:rsidRPr="00A1115A" w:rsidTr="00B83C48">
        <w:trPr>
          <w:jc w:val="center"/>
        </w:trPr>
        <w:tc>
          <w:tcPr>
            <w:tcW w:w="2889" w:type="dxa"/>
            <w:vAlign w:val="center"/>
          </w:tcPr>
          <w:p w:rsidR="000C3C9A" w:rsidRPr="00A1115A" w:rsidRDefault="000C3C9A" w:rsidP="00B83C48">
            <w:pPr>
              <w:pStyle w:val="TAC"/>
            </w:pPr>
            <w:r>
              <w:t>n7,</w:t>
            </w:r>
            <w:r>
              <w:rPr>
                <w:rFonts w:eastAsia="Calibri"/>
              </w:rPr>
              <w:t xml:space="preserve"> n38, n41</w:t>
            </w:r>
          </w:p>
        </w:tc>
        <w:tc>
          <w:tcPr>
            <w:tcW w:w="2970" w:type="dxa"/>
            <w:vAlign w:val="center"/>
          </w:tcPr>
          <w:p w:rsidR="000C3C9A" w:rsidRPr="00A1115A" w:rsidRDefault="000C3C9A" w:rsidP="00B83C48">
            <w:pPr>
              <w:pStyle w:val="TAC"/>
            </w:pPr>
            <w:r w:rsidRPr="00A1115A">
              <w:t>-</w:t>
            </w:r>
            <w:r>
              <w:t>1.5</w:t>
            </w:r>
          </w:p>
        </w:tc>
      </w:tr>
      <w:tr w:rsidR="000C3C9A" w:rsidRPr="00A1115A" w:rsidTr="00B83C48">
        <w:trPr>
          <w:jc w:val="center"/>
        </w:trPr>
        <w:tc>
          <w:tcPr>
            <w:tcW w:w="2889" w:type="dxa"/>
            <w:vAlign w:val="center"/>
          </w:tcPr>
          <w:p w:rsidR="000C3C9A" w:rsidRPr="00A1115A" w:rsidRDefault="000C3C9A" w:rsidP="00B83C48">
            <w:pPr>
              <w:pStyle w:val="TAC"/>
              <w:rPr>
                <w:rFonts w:eastAsia="Calibri"/>
              </w:rPr>
            </w:pPr>
            <w:r>
              <w:rPr>
                <w:rFonts w:eastAsia="Calibri"/>
              </w:rPr>
              <w:t>n48, n77, n78, n79, n104</w:t>
            </w:r>
          </w:p>
        </w:tc>
        <w:tc>
          <w:tcPr>
            <w:tcW w:w="2970" w:type="dxa"/>
            <w:vAlign w:val="center"/>
          </w:tcPr>
          <w:p w:rsidR="000C3C9A" w:rsidRPr="00A1115A" w:rsidRDefault="000C3C9A" w:rsidP="00B83C48">
            <w:pPr>
              <w:pStyle w:val="TAC"/>
            </w:pPr>
            <w:r w:rsidRPr="00A1115A">
              <w:t>-</w:t>
            </w:r>
            <w:r>
              <w:t>1.0</w:t>
            </w:r>
          </w:p>
        </w:tc>
      </w:tr>
    </w:tbl>
    <w:p w:rsidR="002B4708" w:rsidRPr="006420FD" w:rsidRDefault="002B4708" w:rsidP="002B4708">
      <w:pPr>
        <w:jc w:val="both"/>
        <w:rPr>
          <w:lang w:val="en-US" w:eastAsia="en-US"/>
        </w:rPr>
      </w:pPr>
    </w:p>
    <w:p w:rsidR="00B22DA6" w:rsidRDefault="00B22DA6" w:rsidP="006272FF">
      <w:pPr>
        <w:pStyle w:val="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6371DC" w:rsidRPr="006371DC">
        <w:rPr>
          <w:lang w:eastAsia="ja-JP"/>
        </w:rPr>
        <w:t>RP-234015</w:t>
      </w:r>
      <w:r w:rsidR="003C4E5D">
        <w:rPr>
          <w:lang w:eastAsia="ja-JP"/>
        </w:rPr>
        <w:t>,</w:t>
      </w:r>
      <w:r w:rsidR="003C4E5D" w:rsidRPr="003C4E5D">
        <w:rPr>
          <w:lang w:eastAsia="ja-JP"/>
        </w:rPr>
        <w:t xml:space="preserve"> </w:t>
      </w:r>
      <w:r w:rsidR="006371DC" w:rsidRPr="006371DC">
        <w:rPr>
          <w:lang w:eastAsia="ja-JP"/>
        </w:rPr>
        <w:t>Summary of offline session on 2Rx for XR</w:t>
      </w:r>
      <w:r w:rsidR="003C4E5D" w:rsidRPr="003C4E5D">
        <w:rPr>
          <w:lang w:eastAsia="ja-JP"/>
        </w:rPr>
        <w:t xml:space="preserve">, </w:t>
      </w:r>
      <w:r w:rsidR="006371DC">
        <w:rPr>
          <w:lang w:eastAsia="ja-JP"/>
        </w:rPr>
        <w:t>Nokia</w:t>
      </w:r>
    </w:p>
    <w:p w:rsidR="00355387" w:rsidRPr="00863371" w:rsidRDefault="008936D1" w:rsidP="006272FF">
      <w:pPr>
        <w:jc w:val="both"/>
        <w:rPr>
          <w:rFonts w:eastAsiaTheme="minorEastAsia" w:hint="eastAsia"/>
        </w:rPr>
      </w:pPr>
      <w:r>
        <w:rPr>
          <w:rFonts w:eastAsiaTheme="minorEastAsia" w:hint="eastAsia"/>
        </w:rPr>
        <w:t>[</w:t>
      </w:r>
      <w:r w:rsidR="00863371">
        <w:rPr>
          <w:rFonts w:eastAsiaTheme="minorEastAsia"/>
        </w:rPr>
        <w:t>2</w:t>
      </w:r>
      <w:bookmarkStart w:id="2" w:name="_GoBack"/>
      <w:bookmarkEnd w:id="2"/>
      <w:r>
        <w:rPr>
          <w:rFonts w:eastAsiaTheme="minorEastAsia"/>
        </w:rPr>
        <w:t xml:space="preserve">] </w:t>
      </w:r>
      <w:hyperlink r:id="rId8" w:history="1">
        <w:r w:rsidR="00863371" w:rsidRPr="00863371">
          <w:rPr>
            <w:rFonts w:eastAsiaTheme="minorEastAsia"/>
          </w:rPr>
          <w:t>R4-2403878</w:t>
        </w:r>
      </w:hyperlink>
      <w:r w:rsidR="00863371">
        <w:rPr>
          <w:rFonts w:eastAsiaTheme="minorEastAsia"/>
        </w:rPr>
        <w:t xml:space="preserve">, </w:t>
      </w:r>
      <w:r w:rsidR="00863371" w:rsidRPr="00863371">
        <w:rPr>
          <w:rFonts w:eastAsiaTheme="minorEastAsia"/>
        </w:rPr>
        <w:t>WF on 2Rx XR UE requirements</w:t>
      </w:r>
      <w:r w:rsidR="00863371">
        <w:rPr>
          <w:rFonts w:eastAsiaTheme="minorEastAsia"/>
        </w:rPr>
        <w:t>, Apple</w:t>
      </w:r>
    </w:p>
    <w:sectPr w:rsidR="00355387" w:rsidRPr="00863371"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1B9C" w:rsidRDefault="00AC1B9C" w:rsidP="0052762B">
      <w:r>
        <w:separator/>
      </w:r>
    </w:p>
  </w:endnote>
  <w:endnote w:type="continuationSeparator" w:id="0">
    <w:p w:rsidR="00AC1B9C" w:rsidRDefault="00AC1B9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1B9C" w:rsidRDefault="00AC1B9C" w:rsidP="0052762B">
      <w:r>
        <w:separator/>
      </w:r>
    </w:p>
  </w:footnote>
  <w:footnote w:type="continuationSeparator" w:id="0">
    <w:p w:rsidR="00AC1B9C" w:rsidRDefault="00AC1B9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FD47FC"/>
    <w:multiLevelType w:val="hybridMultilevel"/>
    <w:tmpl w:val="C234C6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0"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14D6724"/>
    <w:multiLevelType w:val="hybridMultilevel"/>
    <w:tmpl w:val="500A0248"/>
    <w:lvl w:ilvl="0" w:tplc="CBA40BBE">
      <w:start w:val="6"/>
      <w:numFmt w:val="decimal"/>
      <w:lvlText w:val="%1."/>
      <w:lvlJc w:val="left"/>
      <w:pPr>
        <w:ind w:left="720" w:hanging="360"/>
      </w:pPr>
      <w:rPr>
        <w:rFonts w:hint="eastAsia"/>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5"/>
  </w:num>
  <w:num w:numId="3">
    <w:abstractNumId w:val="31"/>
  </w:num>
  <w:num w:numId="4">
    <w:abstractNumId w:val="42"/>
  </w:num>
  <w:num w:numId="5">
    <w:abstractNumId w:val="2"/>
  </w:num>
  <w:num w:numId="6">
    <w:abstractNumId w:val="41"/>
  </w:num>
  <w:num w:numId="7">
    <w:abstractNumId w:val="20"/>
  </w:num>
  <w:num w:numId="8">
    <w:abstractNumId w:val="34"/>
  </w:num>
  <w:num w:numId="9">
    <w:abstractNumId w:val="46"/>
  </w:num>
  <w:num w:numId="10">
    <w:abstractNumId w:val="15"/>
  </w:num>
  <w:num w:numId="11">
    <w:abstractNumId w:val="11"/>
  </w:num>
  <w:num w:numId="12">
    <w:abstractNumId w:val="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4"/>
  </w:num>
  <w:num w:numId="16">
    <w:abstractNumId w:val="11"/>
  </w:num>
  <w:num w:numId="17">
    <w:abstractNumId w:val="13"/>
  </w:num>
  <w:num w:numId="18">
    <w:abstractNumId w:val="23"/>
  </w:num>
  <w:num w:numId="19">
    <w:abstractNumId w:val="30"/>
  </w:num>
  <w:num w:numId="20">
    <w:abstractNumId w:val="27"/>
  </w:num>
  <w:num w:numId="21">
    <w:abstractNumId w:val="17"/>
  </w:num>
  <w:num w:numId="22">
    <w:abstractNumId w:val="7"/>
  </w:num>
  <w:num w:numId="23">
    <w:abstractNumId w:val="26"/>
  </w:num>
  <w:num w:numId="24">
    <w:abstractNumId w:val="40"/>
  </w:num>
  <w:num w:numId="25">
    <w:abstractNumId w:val="11"/>
  </w:num>
  <w:num w:numId="26">
    <w:abstractNumId w:val="39"/>
  </w:num>
  <w:num w:numId="27">
    <w:abstractNumId w:val="38"/>
  </w:num>
  <w:num w:numId="28">
    <w:abstractNumId w:val="21"/>
  </w:num>
  <w:num w:numId="29">
    <w:abstractNumId w:val="45"/>
  </w:num>
  <w:num w:numId="30">
    <w:abstractNumId w:val="32"/>
  </w:num>
  <w:num w:numId="31">
    <w:abstractNumId w:val="19"/>
  </w:num>
  <w:num w:numId="32">
    <w:abstractNumId w:val="35"/>
  </w:num>
  <w:num w:numId="33">
    <w:abstractNumId w:val="8"/>
  </w:num>
  <w:num w:numId="34">
    <w:abstractNumId w:val="12"/>
  </w:num>
  <w:num w:numId="35">
    <w:abstractNumId w:val="36"/>
  </w:num>
  <w:num w:numId="36">
    <w:abstractNumId w:val="22"/>
  </w:num>
  <w:num w:numId="37">
    <w:abstractNumId w:val="9"/>
  </w:num>
  <w:num w:numId="38">
    <w:abstractNumId w:val="33"/>
  </w:num>
  <w:num w:numId="39">
    <w:abstractNumId w:val="5"/>
  </w:num>
  <w:num w:numId="40">
    <w:abstractNumId w:val="28"/>
  </w:num>
  <w:num w:numId="41">
    <w:abstractNumId w:val="18"/>
  </w:num>
  <w:num w:numId="42">
    <w:abstractNumId w:val="16"/>
  </w:num>
  <w:num w:numId="43">
    <w:abstractNumId w:val="24"/>
  </w:num>
  <w:num w:numId="44">
    <w:abstractNumId w:val="37"/>
  </w:num>
  <w:num w:numId="45">
    <w:abstractNumId w:val="4"/>
  </w:num>
  <w:num w:numId="46">
    <w:abstractNumId w:val="44"/>
  </w:num>
  <w:num w:numId="47">
    <w:abstractNumId w:val="1"/>
  </w:num>
  <w:num w:numId="48">
    <w:abstractNumId w:val="29"/>
  </w:num>
  <w:num w:numId="49">
    <w:abstractNumId w:val="43"/>
  </w:num>
  <w:num w:numId="5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04F"/>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FD9"/>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C9A"/>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387"/>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BE5"/>
    <w:rsid w:val="001D1226"/>
    <w:rsid w:val="001D1A47"/>
    <w:rsid w:val="001D1B5B"/>
    <w:rsid w:val="001D1BDA"/>
    <w:rsid w:val="001D1C24"/>
    <w:rsid w:val="001D1F10"/>
    <w:rsid w:val="001D200C"/>
    <w:rsid w:val="001D2337"/>
    <w:rsid w:val="001D272D"/>
    <w:rsid w:val="001D2A3D"/>
    <w:rsid w:val="001D2D1D"/>
    <w:rsid w:val="001D330A"/>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4F"/>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3AA"/>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5E4"/>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4708"/>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B0F"/>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C0"/>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1D2"/>
    <w:rsid w:val="004B73EB"/>
    <w:rsid w:val="004B783F"/>
    <w:rsid w:val="004C0623"/>
    <w:rsid w:val="004C075E"/>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1DC"/>
    <w:rsid w:val="00637815"/>
    <w:rsid w:val="00637A9A"/>
    <w:rsid w:val="00640DFF"/>
    <w:rsid w:val="00641B92"/>
    <w:rsid w:val="00641BD1"/>
    <w:rsid w:val="00642066"/>
    <w:rsid w:val="006420FD"/>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0A"/>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325"/>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4B"/>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C39"/>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2164"/>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A"/>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276"/>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0"/>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755"/>
    <w:rsid w:val="008624E7"/>
    <w:rsid w:val="0086252F"/>
    <w:rsid w:val="00862B09"/>
    <w:rsid w:val="00863247"/>
    <w:rsid w:val="00863301"/>
    <w:rsid w:val="0086337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6D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3A7"/>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1B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62F"/>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B9C"/>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0CF8"/>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C45"/>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4FC4"/>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A97"/>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2F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49E8"/>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ED4"/>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803"/>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0E1"/>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731"/>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4E32"/>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98C"/>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63C"/>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F7C26"/>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목록단락,列,清單段落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40387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07A67-BE03-4CBC-8420-FA149E3C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TotalTime>
  <Pages>2</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2024-03-11T02:11:00Z</dcterms:created>
  <dcterms:modified xsi:type="dcterms:W3CDTF">2024-03-11T03:11:00Z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(3)cfrrJFWm6F3n1l067g8aF3V8tA4/Za6xQvbMlP+FwWktHMXO8PPXs0kt1VcsD9qyHXcKte19
Yk1jp6R3nTyS+W1NVcZ+6SAslUwa4lCJ33vreUZdBgZstSjhbUTauAb9P7bz/uQ/T4nH+b0l
vpEr42Zol8uB6K6fGpZVmRhD2Hx6Hp8lzRXhbzLgAve8zOvL8dM7pat++NQBi67JtUwNYjDG
dIKYRA0QoyAHI5zl3I</vt:lpwstr>
  </property>
  <property fmtid="{D5CDD505-2E9C-101B-9397-08002B2CF9AE}" pid="15" name="_2015_ms_pID_725343_00">
    <vt:lpwstr>_2015_ms_pID_725343</vt:lpwstr>
  </property>
  <property fmtid="{D5CDD505-2E9C-101B-9397-08002B2CF9AE}" pid="16" name="_2015_ms_pID_7253431">
    <vt:lpwstr>akI0hogPelYvFK8nW1PsFXcVTvKslKqN2ZB6sa1EpjMQ5vSrssTO8M
jHC7K88z/0XNPnXy2SEBRPKa/xRScLC/IFX+KKrX4+EYQ0qjKOfgrRmxlUeiSwSzE+8P6Fru
kPTdJ6qrpx0d2evW0D9Nr+tTQiWdeOWpvDw5+3sT1kU1alXS4dg+VmdtJDdk5fqQV3KYXJ3g
Vb33wkbbGMmPHNF2O8OtAAnbeWBsaJJvmi+x</vt:lpwstr>
  </property>
  <property fmtid="{D5CDD505-2E9C-101B-9397-08002B2CF9AE}" pid="17" name="_2015_ms_pID_7253431_00">
    <vt:lpwstr>_2015_ms_pID_7253431</vt:lpwstr>
  </property>
  <property fmtid="{D5CDD505-2E9C-101B-9397-08002B2CF9AE}" pid="18" name="_2015_ms_pID_7253432">
    <vt:lpwstr>JQ==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